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I/1-2015/110, 111 vom 19. April 2016</w:t>
      </w:r>
    </w:p>
    <w:p>
      <w:r>
        <w:t>Sg Verwaltungsrekurskommission, 2016-04-19, DE</w:t>
      </w:r>
    </w:p>
    <w:p>
      <w:r>
        <w:rPr>
          <w:b/>
        </w:rPr>
        <w:t xml:space="preserve">Quelle: </w:t>
      </w:r>
      <w:r>
        <w:t>https://mcp.opencaselaw.ch/entscheid/sg_publikationen_I_1-2015_110, 111</w:t>
      </w:r>
    </w:p>
    <w:p>
      <w:r>
        <w:t>FR: SG_VERWALTUNGSREKURSKOMMISSION I/1-2015/110, 111 du 19 avril 2016</w:t>
      </w:r>
    </w:p>
    <w:p>
      <w:r>
        <w:t>IT: SG_VERWALTUNGSREKURSKOMMISSION I/1-2015/110, 111 del 19 aprile 2016</w:t>
      </w:r>
    </w:p>
    <w:p>
      <w:pPr>
        <w:pStyle w:val="Heading2"/>
      </w:pPr>
      <w:r>
        <w:t>Regeste</w:t>
      </w:r>
    </w:p>
    <w:p>
      <w:r>
        <w:t>Art. 45 Abs. 1 VRP (sGS 951.1), Art. 140 Abs. 1 DBG (SR 642.11), Art. 9 Abs. 3 AHVG (SR 831.10), Art. 23 AHVV (SR 831.101). Die Veranlagungsbehörde wies zwei Grundstücke des Steuerpflichtigen dem Geschäftsvermögen zu. An den Erträgen änderte sich nichts, weshalb die Zuordnung zum Geschäfts- oder Privatvermögen keinen Einfluss auf die Steuerfaktoren hatte. Der Eigentümer focht die Veranlagungen an mit der Begründung, bei einer Zuordnung zum Geschäftsvermögen seien die Erträge für die Sozialversicherungen abgabepflichtig. Bei Einkünften aus Liegenschaften sind die Sozialversicherungsbehörden aber nicht an den Entscheid der Steuerbehörden gebunden, sondern entscheiden selbständig über den Charakter von Einkünften als Vermögensertrag oder Erwerbseinkommen, weshalb das Steuergericht bei unveränderten Steuerfaktoren nicht über die Zuordnung zum Geschäftsvermögen oder Privatvermögen entscheiden kann (Urteil der Verwaltungsrekurskommission, Abteilung I/1, vom 19. April 2016, VRKE I/1-2015/110, 111).</w:t>
      </w:r>
    </w:p>
    <w:p>
      <w:pPr>
        <w:pStyle w:val="Heading2"/>
      </w:pPr>
      <w:r>
        <w:t>Erwägungen</w:t>
      </w:r>
    </w:p>
    <w:p>
      <w:r>
        <w:rPr>
          <w:b/>
        </w:rPr>
        <w:t>E. 1</w:t>
      </w:r>
    </w:p>
    <w:p>
      <w:r>
        <w:t>Angefochten sind die Einspracheentscheide hinsichtlich der Veranlagungen der Kantons- und Gemeindesteuer 2012 sowie der direkten Bundessteuer 2012.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a) Die Verwaltungsrekurskommission ist zum Entscheid zuständig. Der Rekurs und die Beschwerde vom 8. Mai 2015 gegen die Einspracheentscheide vom 9. April 2015 sind rechtzeitig eingereicht worden und erfüllen in formeller und inhaltlicher Hinsicht die gesetzlichen Anforderungen (Art. 194 Abs. 1 des Steuergesetzes, sGS 811.1; Art. 140 Abs. 2 des Bundesgesetzes über die direkte Bundessteuer, SR 642.11, abgekürzt: DBG; Art. 7 der Verordnung zum Bundesgesetz über die direkte Bundessteuer, sGS 815.1; Art. 41 lit. h Ziff. 1 und Art. 48 des Gesetzes über die Verwaltungsrechtspflege, sGS 951.1, abgekürzt: VRP). b) Nach Art. 45 Abs. 1 VRP ist zur Erhebung des Rekurses berechtigt, wer an der Änderung oder Aufhebung der Verfügung oder des Entscheids ein eigenes schutzwürdiges Interesse dartut. Gleiches gilt für die Erhebung der Beschwerde im Bereich der direkten Bundessteuer (vgl. Art. 140 DBG; Richner/Frei/Kaufmann/Meuter, Handkommentar zum DBG, 2. Aufl. 2009, N 12 zu Art. 140). c) Streitig ist einzig die vorinstanzliche Zuordnung der Grundstücke Z-Strasse 000 und G-Strasse zum Geschäftsvermögen. In betraglicher Hinsicht werden die in den Einspracheentscheiden festgesetzten steuerbaren Einkünfte und Vermögenswerte des Steuerjahres 2012 vom Rekurrenten und Beschwerdeführer anerkannt (act. 1, S. 5). Ebenfalls unbestritten ist, dass die Erträge aus der Baugesellschaft Y der Besteuerung aus selbständiger Erwerbstätigkeit unterliegen (act. 1, S. 9). In den angefochtenen Einspracheentscheiden vom 9. April 2015 kündigte die Vorinstanz an, nach Rechtskraft der Veranlagungen der AHV-Ausgleichskasse (auch) die Erträge aus den Liegenschaften Z-Strasse 000 und G-Strasse als Einkommen aus selbständiger Nebenerwerbstätigkeit zu melden (act. 2/2, S. 3 und 2/3, S. 2). Der Rekurrent und Beschwerdeführer leitet daraus einen für ihn nicht wieder gut zu machenden Nachteil ab, da seiner Auffassung nach die Meldungen der Steuerbehörden für die Ausgleichskasse verbindlich seien und die steuerrechtliche Zuordnung der beiden Liegenschaften zum Geschäftsvermögen demnach für ihn eine künftige AHV-Beitragspflicht nach sich ziehen würde (act. 1, S. 5 f.). d) Das Einkommen aus selbständiger Erwerbstätigkeit und das im Betrieb eingesetzte Kapital werden von den kantonalen Steuerbehörden ermittelt und den Ausgleichskassen gemeldet (vgl. Art. 9 Abs. 3 des Bundesgesetzes über die Alters- und Hinterlassenenversicherung, SR 831.10). Nach Art. 23 Abs. 1 der Verordnung über die Alters- und Hinterlassenenversicherung (SR 831.101, abgekürzt: AHVV)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Die Angaben der kantonalen Steuerbehörden sind für die Ausgleichskassen verbindlich (Art. 23 Abs. 4 AHVV).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selbständiger oder unselbständiger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(Urteil des Bundesgerichts [BGer] 9C_803/2011 vom 23. August 2012 E. 3.5.2 und 9C_506/2012 vom 27. September 2012 E. 3.1; BGE 121 V 80 E. 2c mit Hinweisen; Wegleitung über die Beiträge der Selbständigerwerbenden und Nichterwerbstätigen in der AHV, IV und EO (WSN), Ziff. 8.7 und 8.8). Das gilt namentlich auch für die Qualifikation eines Vermögensbestandteils als Privat- oder Geschäftsvermögen, zumal diese Unterscheidung steuerrechtlich häufig ohne Belang ist, da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(BGer 9C_803/2011 vom 23. August 2012 E. 3.5.2; Urteil H 361/96 vom 2. Juli 1997 E. 2c). In Bezug auf den Vermögensgewinn ist demgegenüber auch steuerrechtlich die Unterscheidung von Geschäfts- und Privatvermögen von Bedeutung, weshalb sich die AHV-Behörden in der Regel auf die Steuermeldungen verlassen können und eigene Abklärungen nur dann vornehmen müssen, wenn sich ernsthafte Zweifel an der Richtigkeit der Steuermeldung ergeben (BGer 9C_803/2011 vom 23. August 2012 E. 3.5.2; BGE 134 V 250 E. 3.3 mit Hinweisen). e) Ob eine Liegenschaft zum Geschäfts- oder Privatvermögen gehört und die durch die Liegenschaften erzielten Erträge beitragspflichtiges Einkommen aus selbständiger Erwerbstätigkeit oder beitragsfreie Kapitalerträge darstellen, ist nach dem Gesagten vorliegend unabhängig von der Auffassung der Steuerbehörden von der Ausgleichskasse eigenständig und frei zu prüfen. Eine diesbezügliche Bindung an die Betrachtungsweise der Steuerbehörden besteht nicht, zumal die steuerrechtliche Qualifikation der Grundstücke für den Rekurrenten und Beschwerdeführer ohne Steuerfolgen bleibt (vgl. Entscheid des Versicherungsgerichts des Kantons St. Gallen vom 19. März 2015, AHV 2014/2 E. 2 und AHV 2008/9 E. 2.1, in: www.gerichte.sg.ch). Es handelt sich ʺlediglichʺ um Erträge aus den Liegenschaften und nicht um einen Vermögensgewinn. Dazu blieben sowohl das in den angefochtenen Einspracheentscheiden festgesetzte steuerbare Einkommen als auch das festgestellte steuerbare Vermögen im Vergleich zur Steuerdeklaration betragsmässig unverändert und wurden die Steuerfaktoren vom Rekurrenten und Beschwerdeführer ausdrücklich anerkannt. Mithin ist der Rekurrent und Beschwerdeführer durch die steuerrechtliche Zuordnung der Grundstücke Z-Strasse 000 und G-Strasse zum Geschäftsvermögen – jedenfalls zum aktuellen Zeitpunkt – nicht beschwert (vgl. BGer 2C_306/2009 und 2C_307/2009 vom 25. Januar 2010, je E. 3.2). Insgesamt fehlt es damit an einem konkreten und aktuellen Interesse an der Klärung der umstrittenen Rechtsfrage. Es erübrigt sich somit, die materiellen Fragen, ob die Liegenschaftserträge Einkommen aus selbständiger Erwerbstätigkeit oder privater Vermögensertrag darstellen und ob die Liegenschaften dem Geschäfts- oder Privatvermögen zuzuordnen sind,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